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3876" w14:textId="77777777" w:rsidR="003039FA" w:rsidRDefault="003039FA" w:rsidP="003039FA">
      <w:pPr>
        <w:jc w:val="both"/>
        <w:rPr>
          <w:rFonts w:ascii="Verdana" w:hAnsi="Verdana"/>
          <w:b/>
          <w:bCs/>
        </w:rPr>
      </w:pPr>
    </w:p>
    <w:p w14:paraId="49344B68" w14:textId="77777777" w:rsidR="003039FA" w:rsidRDefault="003039FA" w:rsidP="003039FA">
      <w:pPr>
        <w:jc w:val="both"/>
        <w:rPr>
          <w:rFonts w:ascii="Verdana" w:hAnsi="Verdana"/>
          <w:b/>
          <w:bCs/>
        </w:rPr>
      </w:pPr>
    </w:p>
    <w:p w14:paraId="5F86A990" w14:textId="77777777" w:rsidR="003039FA" w:rsidRPr="003039FA" w:rsidRDefault="003039FA" w:rsidP="003039FA">
      <w:pPr>
        <w:widowControl w:val="0"/>
        <w:autoSpaceDE w:val="0"/>
        <w:autoSpaceDN w:val="0"/>
        <w:spacing w:after="0" w:line="240" w:lineRule="auto"/>
        <w:ind w:left="3048"/>
        <w:rPr>
          <w:rFonts w:ascii="Times New Roman" w:eastAsia="Verdana" w:hAnsi="Verdana" w:cs="Verdana"/>
          <w:kern w:val="0"/>
          <w:sz w:val="20"/>
          <w:lang w:val="en-US"/>
          <w14:ligatures w14:val="none"/>
        </w:rPr>
      </w:pPr>
      <w:r w:rsidRPr="003039FA">
        <w:rPr>
          <w:rFonts w:ascii="Times New Roman" w:eastAsia="Verdana" w:hAnsi="Verdana" w:cs="Verdana"/>
          <w:noProof/>
          <w:kern w:val="0"/>
          <w:sz w:val="20"/>
          <w:lang w:val="en-US"/>
          <w14:ligatures w14:val="none"/>
        </w:rPr>
        <w:drawing>
          <wp:inline distT="0" distB="0" distL="0" distR="0" wp14:anchorId="7920CE9B" wp14:editId="7AA2F695">
            <wp:extent cx="2076704" cy="3352800"/>
            <wp:effectExtent l="0" t="0" r="0" b="0"/>
            <wp:docPr id="1" name="Image 1" descr="Crest_50c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rest_50cm"/>
                    <pic:cNvPicPr/>
                  </pic:nvPicPr>
                  <pic:blipFill>
                    <a:blip r:embed="rId5" cstate="print"/>
                    <a:stretch>
                      <a:fillRect/>
                    </a:stretch>
                  </pic:blipFill>
                  <pic:spPr>
                    <a:xfrm>
                      <a:off x="0" y="0"/>
                      <a:ext cx="2076704" cy="3352800"/>
                    </a:xfrm>
                    <a:prstGeom prst="rect">
                      <a:avLst/>
                    </a:prstGeom>
                  </pic:spPr>
                </pic:pic>
              </a:graphicData>
            </a:graphic>
          </wp:inline>
        </w:drawing>
      </w:r>
    </w:p>
    <w:p w14:paraId="4C23F4DE" w14:textId="77777777" w:rsidR="003039FA" w:rsidRPr="003039FA" w:rsidRDefault="003039FA" w:rsidP="003039FA">
      <w:pPr>
        <w:widowControl w:val="0"/>
        <w:autoSpaceDE w:val="0"/>
        <w:autoSpaceDN w:val="0"/>
        <w:spacing w:before="189" w:after="0" w:line="240" w:lineRule="auto"/>
        <w:rPr>
          <w:rFonts w:ascii="Times New Roman" w:eastAsia="Verdana" w:hAnsi="Verdana" w:cs="Verdana"/>
          <w:kern w:val="0"/>
          <w:sz w:val="48"/>
          <w:lang w:val="en-US"/>
          <w14:ligatures w14:val="none"/>
        </w:rPr>
      </w:pPr>
    </w:p>
    <w:p w14:paraId="1A75D6A5" w14:textId="129BD101" w:rsidR="003039FA" w:rsidRPr="003039FA" w:rsidRDefault="003039FA" w:rsidP="003039FA">
      <w:pPr>
        <w:widowControl w:val="0"/>
        <w:autoSpaceDE w:val="0"/>
        <w:autoSpaceDN w:val="0"/>
        <w:spacing w:after="0" w:line="600" w:lineRule="auto"/>
        <w:ind w:left="196" w:right="197"/>
        <w:jc w:val="center"/>
        <w:rPr>
          <w:rFonts w:ascii="Arial" w:eastAsia="Arial" w:hAnsi="Arial" w:cs="Arial"/>
          <w:b/>
          <w:bCs/>
          <w:kern w:val="0"/>
          <w:sz w:val="48"/>
          <w:szCs w:val="48"/>
          <w:lang w:val="en-US"/>
          <w14:ligatures w14:val="none"/>
        </w:rPr>
      </w:pPr>
      <w:r w:rsidRPr="003039FA">
        <w:rPr>
          <w:rFonts w:ascii="Arial" w:eastAsia="Arial" w:hAnsi="Arial" w:cs="Arial"/>
          <w:b/>
          <w:bCs/>
          <w:kern w:val="0"/>
          <w:sz w:val="48"/>
          <w:szCs w:val="48"/>
          <w:lang w:val="en-US"/>
          <w14:ligatures w14:val="none"/>
        </w:rPr>
        <w:t>BOGNOR</w:t>
      </w:r>
      <w:r w:rsidRPr="003039FA">
        <w:rPr>
          <w:rFonts w:ascii="Arial" w:eastAsia="Arial" w:hAnsi="Arial" w:cs="Arial"/>
          <w:b/>
          <w:bCs/>
          <w:spacing w:val="-11"/>
          <w:kern w:val="0"/>
          <w:sz w:val="48"/>
          <w:szCs w:val="48"/>
          <w:lang w:val="en-US"/>
          <w14:ligatures w14:val="none"/>
        </w:rPr>
        <w:t xml:space="preserve"> </w:t>
      </w:r>
      <w:r w:rsidRPr="003039FA">
        <w:rPr>
          <w:rFonts w:ascii="Arial" w:eastAsia="Arial" w:hAnsi="Arial" w:cs="Arial"/>
          <w:b/>
          <w:bCs/>
          <w:kern w:val="0"/>
          <w:sz w:val="48"/>
          <w:szCs w:val="48"/>
          <w:lang w:val="en-US"/>
          <w14:ligatures w14:val="none"/>
        </w:rPr>
        <w:t>REGIS</w:t>
      </w:r>
      <w:r w:rsidRPr="003039FA">
        <w:rPr>
          <w:rFonts w:ascii="Arial" w:eastAsia="Arial" w:hAnsi="Arial" w:cs="Arial"/>
          <w:b/>
          <w:bCs/>
          <w:spacing w:val="-11"/>
          <w:kern w:val="0"/>
          <w:sz w:val="48"/>
          <w:szCs w:val="48"/>
          <w:lang w:val="en-US"/>
          <w14:ligatures w14:val="none"/>
        </w:rPr>
        <w:t xml:space="preserve"> </w:t>
      </w:r>
      <w:r w:rsidRPr="003039FA">
        <w:rPr>
          <w:rFonts w:ascii="Arial" w:eastAsia="Arial" w:hAnsi="Arial" w:cs="Arial"/>
          <w:b/>
          <w:bCs/>
          <w:kern w:val="0"/>
          <w:sz w:val="48"/>
          <w:szCs w:val="48"/>
          <w:lang w:val="en-US"/>
          <w14:ligatures w14:val="none"/>
        </w:rPr>
        <w:t>TOWN</w:t>
      </w:r>
      <w:r w:rsidRPr="003039FA">
        <w:rPr>
          <w:rFonts w:ascii="Arial" w:eastAsia="Arial" w:hAnsi="Arial" w:cs="Arial"/>
          <w:b/>
          <w:bCs/>
          <w:spacing w:val="-12"/>
          <w:kern w:val="0"/>
          <w:sz w:val="48"/>
          <w:szCs w:val="48"/>
          <w:lang w:val="en-US"/>
          <w14:ligatures w14:val="none"/>
        </w:rPr>
        <w:t xml:space="preserve"> </w:t>
      </w:r>
      <w:r w:rsidRPr="003039FA">
        <w:rPr>
          <w:rFonts w:ascii="Arial" w:eastAsia="Arial" w:hAnsi="Arial" w:cs="Arial"/>
          <w:b/>
          <w:bCs/>
          <w:kern w:val="0"/>
          <w:sz w:val="48"/>
          <w:szCs w:val="48"/>
          <w:lang w:val="en-US"/>
          <w14:ligatures w14:val="none"/>
        </w:rPr>
        <w:t xml:space="preserve">COUNCIL DATA PROTECTION </w:t>
      </w:r>
      <w:r w:rsidR="00F14B2D">
        <w:rPr>
          <w:rFonts w:ascii="Arial" w:eastAsia="Arial" w:hAnsi="Arial" w:cs="Arial"/>
          <w:b/>
          <w:bCs/>
          <w:kern w:val="0"/>
          <w:sz w:val="48"/>
          <w:szCs w:val="48"/>
          <w:lang w:val="en-US"/>
          <w14:ligatures w14:val="none"/>
        </w:rPr>
        <w:t xml:space="preserve">(GDPR) </w:t>
      </w:r>
      <w:r w:rsidRPr="003039FA">
        <w:rPr>
          <w:rFonts w:ascii="Arial" w:eastAsia="Arial" w:hAnsi="Arial" w:cs="Arial"/>
          <w:b/>
          <w:bCs/>
          <w:kern w:val="0"/>
          <w:sz w:val="48"/>
          <w:szCs w:val="48"/>
          <w:lang w:val="en-US"/>
          <w14:ligatures w14:val="none"/>
        </w:rPr>
        <w:t>POLICY</w:t>
      </w:r>
    </w:p>
    <w:p w14:paraId="35B8444B" w14:textId="4B9D7C0C" w:rsidR="003039FA" w:rsidRPr="003039FA" w:rsidRDefault="003039FA" w:rsidP="003039FA">
      <w:pPr>
        <w:widowControl w:val="0"/>
        <w:autoSpaceDE w:val="0"/>
        <w:autoSpaceDN w:val="0"/>
        <w:spacing w:before="252" w:after="0" w:line="240" w:lineRule="auto"/>
        <w:ind w:left="201" w:right="197"/>
        <w:jc w:val="center"/>
        <w:rPr>
          <w:rFonts w:ascii="Arial" w:eastAsia="Verdana" w:hAnsi="Verdana" w:cs="Verdana"/>
          <w:b/>
          <w:kern w:val="0"/>
          <w:sz w:val="22"/>
          <w:szCs w:val="22"/>
          <w:lang w:val="en-US"/>
          <w14:ligatures w14:val="none"/>
        </w:rPr>
      </w:pPr>
      <w:r w:rsidRPr="003039FA">
        <w:rPr>
          <w:rFonts w:ascii="Arial" w:eastAsia="Verdana" w:hAnsi="Verdana" w:cs="Verdana"/>
          <w:b/>
          <w:spacing w:val="-2"/>
          <w:kern w:val="0"/>
          <w:sz w:val="22"/>
          <w:szCs w:val="22"/>
          <w:lang w:val="en-US"/>
          <w14:ligatures w14:val="none"/>
        </w:rPr>
        <w:t>Adopted</w:t>
      </w:r>
      <w:r w:rsidRPr="003039FA">
        <w:rPr>
          <w:rFonts w:ascii="Arial" w:eastAsia="Verdana" w:hAnsi="Verdana" w:cs="Verdana"/>
          <w:b/>
          <w:spacing w:val="-8"/>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by</w:t>
      </w:r>
      <w:r w:rsidRPr="003039FA">
        <w:rPr>
          <w:rFonts w:ascii="Arial" w:eastAsia="Verdana" w:hAnsi="Verdana" w:cs="Verdana"/>
          <w:b/>
          <w:spacing w:val="-13"/>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the</w:t>
      </w:r>
      <w:r w:rsidRPr="003039FA">
        <w:rPr>
          <w:rFonts w:ascii="Arial" w:eastAsia="Verdana" w:hAnsi="Verdana" w:cs="Verdana"/>
          <w:b/>
          <w:spacing w:val="-10"/>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Council</w:t>
      </w:r>
      <w:r w:rsidRPr="003039FA">
        <w:rPr>
          <w:rFonts w:ascii="Arial" w:eastAsia="Verdana" w:hAnsi="Verdana" w:cs="Verdana"/>
          <w:b/>
          <w:spacing w:val="-9"/>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at</w:t>
      </w:r>
      <w:r w:rsidRPr="003039FA">
        <w:rPr>
          <w:rFonts w:ascii="Arial" w:eastAsia="Verdana" w:hAnsi="Verdana" w:cs="Verdana"/>
          <w:b/>
          <w:spacing w:val="-10"/>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its</w:t>
      </w:r>
      <w:r w:rsidRPr="003039FA">
        <w:rPr>
          <w:rFonts w:ascii="Arial" w:eastAsia="Verdana" w:hAnsi="Verdana" w:cs="Verdana"/>
          <w:b/>
          <w:spacing w:val="-12"/>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Meeting</w:t>
      </w:r>
      <w:r w:rsidRPr="003039FA">
        <w:rPr>
          <w:rFonts w:ascii="Arial" w:eastAsia="Verdana" w:hAnsi="Verdana" w:cs="Verdana"/>
          <w:b/>
          <w:spacing w:val="-11"/>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held</w:t>
      </w:r>
      <w:r w:rsidRPr="003039FA">
        <w:rPr>
          <w:rFonts w:ascii="Arial" w:eastAsia="Verdana" w:hAnsi="Verdana" w:cs="Verdana"/>
          <w:b/>
          <w:spacing w:val="-10"/>
          <w:kern w:val="0"/>
          <w:sz w:val="22"/>
          <w:szCs w:val="22"/>
          <w:lang w:val="en-US"/>
          <w14:ligatures w14:val="none"/>
        </w:rPr>
        <w:t xml:space="preserve"> </w:t>
      </w:r>
      <w:r w:rsidRPr="00B6622F">
        <w:rPr>
          <w:rFonts w:ascii="Arial" w:eastAsia="Verdana" w:hAnsi="Verdana" w:cs="Verdana"/>
          <w:b/>
          <w:spacing w:val="-2"/>
          <w:kern w:val="0"/>
          <w:sz w:val="22"/>
          <w:szCs w:val="22"/>
          <w:lang w:val="en-US"/>
          <w14:ligatures w14:val="none"/>
        </w:rPr>
        <w:t>on</w:t>
      </w:r>
      <w:r w:rsidRPr="00B6622F">
        <w:rPr>
          <w:rFonts w:ascii="Arial" w:eastAsia="Verdana" w:hAnsi="Verdana" w:cs="Verdana"/>
          <w:b/>
          <w:spacing w:val="-11"/>
          <w:kern w:val="0"/>
          <w:sz w:val="22"/>
          <w:szCs w:val="22"/>
          <w:lang w:val="en-US"/>
          <w14:ligatures w14:val="none"/>
        </w:rPr>
        <w:t xml:space="preserve"> </w:t>
      </w:r>
      <w:r w:rsidR="00B6622F" w:rsidRPr="00B6622F">
        <w:rPr>
          <w:rFonts w:ascii="Arial" w:eastAsia="Verdana" w:hAnsi="Verdana" w:cs="Verdana"/>
          <w:b/>
          <w:spacing w:val="-2"/>
          <w:kern w:val="0"/>
          <w:sz w:val="22"/>
          <w:szCs w:val="22"/>
          <w:lang w:val="en-US"/>
          <w14:ligatures w14:val="none"/>
        </w:rPr>
        <w:t>11</w:t>
      </w:r>
      <w:r w:rsidR="00B6622F" w:rsidRPr="00B6622F">
        <w:rPr>
          <w:rFonts w:ascii="Arial" w:eastAsia="Verdana" w:hAnsi="Verdana" w:cs="Verdana"/>
          <w:b/>
          <w:spacing w:val="-2"/>
          <w:kern w:val="0"/>
          <w:sz w:val="22"/>
          <w:szCs w:val="22"/>
          <w:vertAlign w:val="superscript"/>
          <w:lang w:val="en-US"/>
          <w14:ligatures w14:val="none"/>
        </w:rPr>
        <w:t>th</w:t>
      </w:r>
      <w:r w:rsidR="00B6622F" w:rsidRPr="00B6622F">
        <w:rPr>
          <w:rFonts w:ascii="Arial" w:eastAsia="Verdana" w:hAnsi="Verdana" w:cs="Verdana"/>
          <w:b/>
          <w:spacing w:val="-2"/>
          <w:kern w:val="0"/>
          <w:sz w:val="22"/>
          <w:szCs w:val="22"/>
          <w:lang w:val="en-US"/>
          <w14:ligatures w14:val="none"/>
        </w:rPr>
        <w:t xml:space="preserve"> May 2026</w:t>
      </w:r>
    </w:p>
    <w:p w14:paraId="37133EED" w14:textId="77777777" w:rsidR="003039FA" w:rsidRDefault="003039FA" w:rsidP="003039FA">
      <w:pPr>
        <w:jc w:val="both"/>
        <w:rPr>
          <w:rFonts w:ascii="Verdana" w:hAnsi="Verdana"/>
          <w:b/>
          <w:bCs/>
        </w:rPr>
      </w:pPr>
    </w:p>
    <w:p w14:paraId="5DD1471A" w14:textId="77777777" w:rsidR="003039FA" w:rsidRDefault="003039FA" w:rsidP="003039FA">
      <w:pPr>
        <w:jc w:val="both"/>
        <w:rPr>
          <w:rFonts w:ascii="Verdana" w:hAnsi="Verdana"/>
          <w:b/>
          <w:bCs/>
        </w:rPr>
      </w:pPr>
    </w:p>
    <w:p w14:paraId="104E63AD" w14:textId="77777777" w:rsidR="003039FA" w:rsidRDefault="003039FA" w:rsidP="003039FA">
      <w:pPr>
        <w:jc w:val="both"/>
        <w:rPr>
          <w:rFonts w:ascii="Verdana" w:hAnsi="Verdana"/>
          <w:b/>
          <w:bCs/>
        </w:rPr>
      </w:pPr>
    </w:p>
    <w:p w14:paraId="40BA37D6" w14:textId="77777777" w:rsidR="003039FA" w:rsidRDefault="003039FA" w:rsidP="003039FA">
      <w:pPr>
        <w:jc w:val="both"/>
        <w:rPr>
          <w:rFonts w:ascii="Verdana" w:hAnsi="Verdana"/>
          <w:b/>
          <w:bCs/>
        </w:rPr>
      </w:pPr>
    </w:p>
    <w:p w14:paraId="7CADA236" w14:textId="77777777" w:rsidR="003039FA" w:rsidRDefault="003039FA" w:rsidP="003039FA">
      <w:pPr>
        <w:jc w:val="both"/>
        <w:rPr>
          <w:rFonts w:ascii="Verdana" w:hAnsi="Verdana"/>
          <w:b/>
          <w:bCs/>
        </w:rPr>
      </w:pPr>
    </w:p>
    <w:p w14:paraId="029BC02A" w14:textId="77777777" w:rsidR="003039FA" w:rsidRDefault="003039FA" w:rsidP="003039FA">
      <w:pPr>
        <w:jc w:val="both"/>
        <w:rPr>
          <w:rFonts w:ascii="Verdana" w:hAnsi="Verdana"/>
          <w:b/>
          <w:bCs/>
        </w:rPr>
      </w:pPr>
    </w:p>
    <w:p w14:paraId="2150C098" w14:textId="77777777" w:rsidR="003039FA" w:rsidRDefault="003039FA" w:rsidP="003039FA">
      <w:pPr>
        <w:jc w:val="both"/>
        <w:rPr>
          <w:rFonts w:ascii="Verdana" w:hAnsi="Verdana"/>
          <w:b/>
          <w:bCs/>
        </w:rPr>
      </w:pPr>
    </w:p>
    <w:p w14:paraId="551C9213" w14:textId="17C5FB92" w:rsidR="003039FA" w:rsidRPr="00B6622F" w:rsidRDefault="003039FA" w:rsidP="009B5F09">
      <w:pPr>
        <w:jc w:val="both"/>
        <w:rPr>
          <w:rFonts w:ascii="Verdana" w:hAnsi="Verdana"/>
          <w:b/>
          <w:bCs/>
        </w:rPr>
      </w:pPr>
      <w:r w:rsidRPr="00B6622F">
        <w:rPr>
          <w:rFonts w:ascii="Verdana" w:hAnsi="Verdana"/>
          <w:b/>
          <w:bCs/>
        </w:rPr>
        <w:lastRenderedPageBreak/>
        <w:t>Introduction</w:t>
      </w:r>
    </w:p>
    <w:p w14:paraId="441CCAFA" w14:textId="77777777" w:rsidR="003039FA" w:rsidRPr="00B6622F" w:rsidRDefault="003039FA" w:rsidP="009B5F09">
      <w:pPr>
        <w:jc w:val="both"/>
        <w:rPr>
          <w:rFonts w:ascii="Verdana" w:hAnsi="Verdana"/>
        </w:rPr>
      </w:pPr>
      <w:r w:rsidRPr="00B6622F">
        <w:rPr>
          <w:rFonts w:ascii="Verdana" w:hAnsi="Verdana"/>
        </w:rPr>
        <w:t>We hold personal data about our employees, residents, suppliers and other individuals for a variety of Council purposes.</w:t>
      </w:r>
    </w:p>
    <w:p w14:paraId="1FA3BE20" w14:textId="77777777" w:rsidR="003039FA" w:rsidRPr="00B6622F" w:rsidRDefault="003039FA" w:rsidP="009B5F09">
      <w:pPr>
        <w:jc w:val="both"/>
        <w:rPr>
          <w:rFonts w:ascii="Verdana" w:hAnsi="Verdana"/>
        </w:rPr>
      </w:pPr>
      <w:r w:rsidRPr="00B6622F">
        <w:rPr>
          <w:rFonts w:ascii="Verdana" w:hAnsi="Verdana"/>
        </w:rPr>
        <w:t>This policy sets out how we seek to protect personal data and ensure that Councillors and Officers understand the rules governing their use of personal data to which they have access in the course of their work.</w:t>
      </w:r>
    </w:p>
    <w:p w14:paraId="67C19B47" w14:textId="77777777" w:rsidR="003039FA" w:rsidRPr="00B6622F" w:rsidRDefault="003039FA" w:rsidP="009B5F09">
      <w:pPr>
        <w:jc w:val="both"/>
        <w:rPr>
          <w:rFonts w:ascii="Verdana" w:hAnsi="Verdana"/>
        </w:rPr>
      </w:pPr>
      <w:r w:rsidRPr="00B6622F">
        <w:rPr>
          <w:rFonts w:ascii="Verdana" w:hAnsi="Verdana"/>
        </w:rPr>
        <w:t>This policy demonstrates the Council’s accountability under Article 5(2) UK GDPR and its obligation to be able to evidence compliance with data protection principles.</w:t>
      </w:r>
    </w:p>
    <w:p w14:paraId="096EE1D7" w14:textId="5D885ED2" w:rsidR="003039FA" w:rsidRPr="00B6622F" w:rsidRDefault="003039FA" w:rsidP="009B5F09">
      <w:pPr>
        <w:jc w:val="both"/>
        <w:rPr>
          <w:rFonts w:ascii="Verdana" w:hAnsi="Verdana"/>
        </w:rPr>
      </w:pPr>
      <w:proofErr w:type="gramStart"/>
      <w:r w:rsidRPr="00B6622F">
        <w:rPr>
          <w:rFonts w:ascii="Verdana" w:hAnsi="Verdana"/>
        </w:rPr>
        <w:t>In particular, this</w:t>
      </w:r>
      <w:proofErr w:type="gramEnd"/>
      <w:r w:rsidRPr="00B6622F">
        <w:rPr>
          <w:rFonts w:ascii="Verdana" w:hAnsi="Verdana"/>
        </w:rPr>
        <w:t xml:space="preserve"> policy requires Officers to ensure that the Data Protection Officer (DPO),</w:t>
      </w:r>
      <w:r w:rsidR="00556CE7" w:rsidRPr="00B6622F">
        <w:rPr>
          <w:rFonts w:ascii="Verdana" w:hAnsi="Verdana"/>
        </w:rPr>
        <w:t xml:space="preserve"> and the Town Clerk,</w:t>
      </w:r>
      <w:r w:rsidRPr="00B6622F">
        <w:rPr>
          <w:rFonts w:ascii="Verdana" w:hAnsi="Verdana"/>
        </w:rPr>
        <w:t xml:space="preserve"> be consulted before any significant new data processing activity is initiated to ensure that relevant compliance steps are addressed and that appropriate technical and organisational measures are implemented in accordance with UK GDPR.</w:t>
      </w:r>
    </w:p>
    <w:p w14:paraId="7DDAAFEC" w14:textId="311C1F36" w:rsidR="003039FA" w:rsidRPr="00B6622F" w:rsidRDefault="003039FA" w:rsidP="009B5F09">
      <w:pPr>
        <w:jc w:val="both"/>
        <w:rPr>
          <w:rFonts w:ascii="Verdana" w:hAnsi="Verdana"/>
        </w:rPr>
      </w:pPr>
    </w:p>
    <w:p w14:paraId="499BE120" w14:textId="77777777" w:rsidR="003039FA" w:rsidRPr="00B6622F" w:rsidRDefault="003039FA" w:rsidP="009B5F09">
      <w:pPr>
        <w:jc w:val="both"/>
        <w:rPr>
          <w:rFonts w:ascii="Verdana" w:hAnsi="Verdana"/>
          <w:b/>
          <w:bCs/>
        </w:rPr>
      </w:pPr>
      <w:r w:rsidRPr="00B6622F">
        <w:rPr>
          <w:rFonts w:ascii="Verdana" w:hAnsi="Verdana"/>
          <w:b/>
          <w:bCs/>
        </w:rPr>
        <w:t>Scope</w:t>
      </w:r>
    </w:p>
    <w:p w14:paraId="7C187425" w14:textId="77777777" w:rsidR="003039FA" w:rsidRPr="00B6622F" w:rsidRDefault="003039FA" w:rsidP="009B5F09">
      <w:pPr>
        <w:jc w:val="both"/>
        <w:rPr>
          <w:rFonts w:ascii="Verdana" w:hAnsi="Verdana"/>
        </w:rPr>
      </w:pPr>
      <w:r w:rsidRPr="00B6622F">
        <w:rPr>
          <w:rFonts w:ascii="Verdana" w:hAnsi="Verdana"/>
        </w:rPr>
        <w:t>This policy applies to all Councillors and staff. You must be familiar with this policy and comply with its terms.</w:t>
      </w:r>
    </w:p>
    <w:p w14:paraId="512CA261" w14:textId="77777777" w:rsidR="003039FA" w:rsidRPr="00B6622F" w:rsidRDefault="003039FA" w:rsidP="009B5F09">
      <w:pPr>
        <w:jc w:val="both"/>
        <w:rPr>
          <w:rFonts w:ascii="Verdana" w:hAnsi="Verdana"/>
        </w:rPr>
      </w:pPr>
      <w:r w:rsidRPr="00B6622F">
        <w:rPr>
          <w:rFonts w:ascii="Verdana" w:hAnsi="Verdana"/>
        </w:rPr>
        <w:t>Failure to comply may result in disciplinary action and regulatory consequences for the Council.</w:t>
      </w:r>
    </w:p>
    <w:p w14:paraId="385E55A8" w14:textId="1EE638A8" w:rsidR="003039FA" w:rsidRPr="00B6622F" w:rsidRDefault="003039FA" w:rsidP="009B5F09">
      <w:pPr>
        <w:jc w:val="both"/>
        <w:rPr>
          <w:rFonts w:ascii="Verdana" w:hAnsi="Verdana"/>
        </w:rPr>
      </w:pPr>
    </w:p>
    <w:p w14:paraId="1608CF85" w14:textId="2C127E1E" w:rsidR="003039FA" w:rsidRPr="00B6622F" w:rsidRDefault="003039FA" w:rsidP="009B5F09">
      <w:pPr>
        <w:jc w:val="both"/>
        <w:rPr>
          <w:rFonts w:ascii="Verdana" w:hAnsi="Verdana"/>
          <w:b/>
          <w:bCs/>
        </w:rPr>
      </w:pPr>
      <w:r w:rsidRPr="00B6622F">
        <w:rPr>
          <w:rFonts w:ascii="Verdana" w:hAnsi="Verdana"/>
          <w:b/>
          <w:bCs/>
        </w:rPr>
        <w:t xml:space="preserve">Who is </w:t>
      </w:r>
      <w:r w:rsidR="00F14B2D" w:rsidRPr="00B6622F">
        <w:rPr>
          <w:rFonts w:ascii="Verdana" w:hAnsi="Verdana"/>
          <w:b/>
          <w:bCs/>
        </w:rPr>
        <w:t>R</w:t>
      </w:r>
      <w:r w:rsidRPr="00B6622F">
        <w:rPr>
          <w:rFonts w:ascii="Verdana" w:hAnsi="Verdana"/>
          <w:b/>
          <w:bCs/>
        </w:rPr>
        <w:t xml:space="preserve">esponsible for this </w:t>
      </w:r>
      <w:r w:rsidR="00F14B2D" w:rsidRPr="00B6622F">
        <w:rPr>
          <w:rFonts w:ascii="Verdana" w:hAnsi="Verdana"/>
          <w:b/>
          <w:bCs/>
        </w:rPr>
        <w:t>P</w:t>
      </w:r>
      <w:r w:rsidRPr="00B6622F">
        <w:rPr>
          <w:rFonts w:ascii="Verdana" w:hAnsi="Verdana"/>
          <w:b/>
          <w:bCs/>
        </w:rPr>
        <w:t>olicy?</w:t>
      </w:r>
    </w:p>
    <w:p w14:paraId="10FECF80" w14:textId="5A13A0E8" w:rsidR="003039FA" w:rsidRPr="00B6622F" w:rsidRDefault="00C60345" w:rsidP="009B5F09">
      <w:pPr>
        <w:jc w:val="both"/>
        <w:rPr>
          <w:rFonts w:ascii="Verdana" w:hAnsi="Verdana"/>
        </w:rPr>
      </w:pPr>
      <w:r w:rsidRPr="00B6622F">
        <w:rPr>
          <w:rFonts w:ascii="Verdana" w:hAnsi="Verdana"/>
          <w:lang w:val="en-US"/>
        </w:rPr>
        <w:t xml:space="preserve">The </w:t>
      </w:r>
      <w:r w:rsidR="00215187" w:rsidRPr="00B6622F">
        <w:rPr>
          <w:rFonts w:ascii="Verdana" w:hAnsi="Verdana"/>
          <w:lang w:val="en-US"/>
        </w:rPr>
        <w:t xml:space="preserve">Deputy </w:t>
      </w:r>
      <w:r w:rsidRPr="00B6622F">
        <w:rPr>
          <w:rFonts w:ascii="Verdana" w:hAnsi="Verdana"/>
          <w:lang w:val="en-US"/>
        </w:rPr>
        <w:t xml:space="preserve">Clerk, </w:t>
      </w:r>
      <w:r w:rsidR="00215187" w:rsidRPr="00B6622F">
        <w:rPr>
          <w:rFonts w:ascii="Verdana" w:hAnsi="Verdana"/>
          <w:lang w:val="en-US"/>
        </w:rPr>
        <w:t>as the</w:t>
      </w:r>
      <w:r w:rsidRPr="00B6622F">
        <w:rPr>
          <w:rFonts w:ascii="Verdana" w:hAnsi="Verdana"/>
          <w:lang w:val="en-US"/>
        </w:rPr>
        <w:t xml:space="preserve"> Data Protection Officer (DPO) has overall responsibility for the day-to-day implementation of this policy</w:t>
      </w:r>
      <w:r w:rsidR="00215187" w:rsidRPr="00B6622F">
        <w:rPr>
          <w:rFonts w:ascii="Verdana" w:hAnsi="Verdana"/>
        </w:rPr>
        <w:t xml:space="preserve"> in liaison with the Town Clerk who </w:t>
      </w:r>
      <w:r w:rsidR="003039FA" w:rsidRPr="00B6622F">
        <w:rPr>
          <w:rFonts w:ascii="Verdana" w:hAnsi="Verdana"/>
        </w:rPr>
        <w:t>is ultimately responsible for compliance with UK GDPR and the Data Protection Act 2018.</w:t>
      </w:r>
    </w:p>
    <w:p w14:paraId="1A6B290F" w14:textId="011836F0" w:rsidR="003039FA" w:rsidRPr="00B6622F" w:rsidRDefault="003039FA" w:rsidP="009B5F09">
      <w:pPr>
        <w:jc w:val="both"/>
        <w:rPr>
          <w:rFonts w:ascii="Verdana" w:hAnsi="Verdana"/>
        </w:rPr>
      </w:pPr>
    </w:p>
    <w:p w14:paraId="1C12E9D6" w14:textId="3F24E099" w:rsidR="003039FA" w:rsidRPr="00B6622F" w:rsidRDefault="00740D1B" w:rsidP="009B5F09">
      <w:pPr>
        <w:jc w:val="both"/>
        <w:rPr>
          <w:rFonts w:ascii="Verdana" w:hAnsi="Verdana"/>
          <w:b/>
          <w:bCs/>
        </w:rPr>
      </w:pPr>
      <w:r w:rsidRPr="00B6622F">
        <w:rPr>
          <w:rFonts w:ascii="Verdana" w:hAnsi="Verdana"/>
          <w:b/>
          <w:bCs/>
        </w:rPr>
        <w:t>Lawful Basis for Processing</w:t>
      </w:r>
    </w:p>
    <w:p w14:paraId="1CA171DD" w14:textId="2074E4E4" w:rsidR="003039FA" w:rsidRPr="00B6622F" w:rsidRDefault="003039FA" w:rsidP="009B5F09">
      <w:pPr>
        <w:jc w:val="both"/>
        <w:rPr>
          <w:rFonts w:ascii="Verdana" w:hAnsi="Verdana"/>
        </w:rPr>
      </w:pPr>
      <w:r w:rsidRPr="00B6622F">
        <w:rPr>
          <w:rFonts w:ascii="Verdana" w:hAnsi="Verdana"/>
        </w:rPr>
        <w:t>We must process personal data fairly and lawfully in accordance with individuals’ rights.</w:t>
      </w:r>
    </w:p>
    <w:p w14:paraId="727C5E5D" w14:textId="781674DC" w:rsidR="00740D1B" w:rsidRPr="00B6622F" w:rsidRDefault="00740D1B" w:rsidP="009B5F09">
      <w:pPr>
        <w:jc w:val="both"/>
        <w:rPr>
          <w:rFonts w:ascii="Verdana" w:hAnsi="Verdana"/>
        </w:rPr>
      </w:pPr>
      <w:r w:rsidRPr="00B6622F">
        <w:rPr>
          <w:rFonts w:ascii="Verdana" w:hAnsi="Verdana"/>
        </w:rPr>
        <w:t>This generally means that we should not process personal data unless the individual whose details we are processing has consented to this happening.</w:t>
      </w:r>
    </w:p>
    <w:p w14:paraId="47E69A0B" w14:textId="77777777" w:rsidR="00740D1B" w:rsidRPr="00B6622F" w:rsidRDefault="00740D1B" w:rsidP="009B5F09">
      <w:pPr>
        <w:jc w:val="both"/>
        <w:rPr>
          <w:rFonts w:ascii="Verdana" w:hAnsi="Verdana"/>
        </w:rPr>
      </w:pPr>
      <w:r w:rsidRPr="00B6622F">
        <w:rPr>
          <w:rFonts w:ascii="Verdana" w:hAnsi="Verdana"/>
        </w:rPr>
        <w:lastRenderedPageBreak/>
        <w:t>The Council will process personal data fairly, lawfully and transparently in accordance with UK GDPR.</w:t>
      </w:r>
    </w:p>
    <w:p w14:paraId="74B0823E" w14:textId="77777777" w:rsidR="00740D1B" w:rsidRPr="00B6622F" w:rsidRDefault="00740D1B" w:rsidP="009B5F09">
      <w:pPr>
        <w:jc w:val="both"/>
        <w:rPr>
          <w:rFonts w:ascii="Verdana" w:hAnsi="Verdana"/>
        </w:rPr>
      </w:pPr>
      <w:r w:rsidRPr="00B6622F">
        <w:rPr>
          <w:rFonts w:ascii="Verdana" w:hAnsi="Verdana"/>
        </w:rPr>
        <w:t xml:space="preserve">All processing must be based on a valid lawful basis under Article 6 UK GDPR. For </w:t>
      </w:r>
      <w:proofErr w:type="gramStart"/>
      <w:r w:rsidRPr="00B6622F">
        <w:rPr>
          <w:rFonts w:ascii="Verdana" w:hAnsi="Verdana"/>
        </w:rPr>
        <w:t>the majority of</w:t>
      </w:r>
      <w:proofErr w:type="gramEnd"/>
      <w:r w:rsidRPr="00B6622F">
        <w:rPr>
          <w:rFonts w:ascii="Verdana" w:hAnsi="Verdana"/>
        </w:rPr>
        <w:t xml:space="preserve"> Council activities, the lawful basis will be:</w:t>
      </w:r>
    </w:p>
    <w:p w14:paraId="32817418" w14:textId="77777777" w:rsidR="00740D1B" w:rsidRPr="00B6622F" w:rsidRDefault="00740D1B" w:rsidP="009B5F09">
      <w:pPr>
        <w:numPr>
          <w:ilvl w:val="0"/>
          <w:numId w:val="1"/>
        </w:numPr>
        <w:jc w:val="both"/>
        <w:rPr>
          <w:rFonts w:ascii="Verdana" w:hAnsi="Verdana"/>
        </w:rPr>
      </w:pPr>
      <w:r w:rsidRPr="00B6622F">
        <w:rPr>
          <w:rFonts w:ascii="Verdana" w:hAnsi="Verdana"/>
        </w:rPr>
        <w:t>Performance of a task carried out in the public interest or in the exercise of official authority (public task);</w:t>
      </w:r>
    </w:p>
    <w:p w14:paraId="2B4F8207" w14:textId="77777777" w:rsidR="00740D1B" w:rsidRPr="00B6622F" w:rsidRDefault="00740D1B" w:rsidP="009B5F09">
      <w:pPr>
        <w:numPr>
          <w:ilvl w:val="0"/>
          <w:numId w:val="1"/>
        </w:numPr>
        <w:jc w:val="both"/>
        <w:rPr>
          <w:rFonts w:ascii="Verdana" w:hAnsi="Verdana"/>
        </w:rPr>
      </w:pPr>
      <w:r w:rsidRPr="00B6622F">
        <w:rPr>
          <w:rFonts w:ascii="Verdana" w:hAnsi="Verdana"/>
        </w:rPr>
        <w:t>Compliance with a legal obligation; or</w:t>
      </w:r>
    </w:p>
    <w:p w14:paraId="243C210F" w14:textId="77777777" w:rsidR="00740D1B" w:rsidRPr="00B6622F" w:rsidRDefault="00740D1B" w:rsidP="009B5F09">
      <w:pPr>
        <w:numPr>
          <w:ilvl w:val="0"/>
          <w:numId w:val="1"/>
        </w:numPr>
        <w:jc w:val="both"/>
        <w:rPr>
          <w:rFonts w:ascii="Verdana" w:hAnsi="Verdana"/>
        </w:rPr>
      </w:pPr>
      <w:r w:rsidRPr="00B6622F">
        <w:rPr>
          <w:rFonts w:ascii="Verdana" w:hAnsi="Verdana"/>
        </w:rPr>
        <w:t>Performance of a contract.</w:t>
      </w:r>
    </w:p>
    <w:p w14:paraId="31CD001C" w14:textId="77777777" w:rsidR="00740D1B" w:rsidRPr="00B6622F" w:rsidRDefault="00740D1B" w:rsidP="009B5F09">
      <w:pPr>
        <w:jc w:val="both"/>
        <w:rPr>
          <w:rFonts w:ascii="Verdana" w:hAnsi="Verdana"/>
        </w:rPr>
      </w:pPr>
      <w:r w:rsidRPr="00B6622F">
        <w:rPr>
          <w:rFonts w:ascii="Verdana" w:hAnsi="Verdana"/>
        </w:rPr>
        <w:t>Consent will only be relied upon where it is appropriate, freely given, specific and capable of being withdrawn without detriment.</w:t>
      </w:r>
    </w:p>
    <w:p w14:paraId="208A0CD6" w14:textId="77777777" w:rsidR="00740D1B" w:rsidRPr="00B6622F" w:rsidRDefault="00740D1B" w:rsidP="009B5F09">
      <w:pPr>
        <w:jc w:val="both"/>
        <w:rPr>
          <w:rFonts w:ascii="Verdana" w:hAnsi="Verdana"/>
        </w:rPr>
      </w:pPr>
      <w:r w:rsidRPr="00B6622F">
        <w:rPr>
          <w:rFonts w:ascii="Verdana" w:hAnsi="Verdana"/>
        </w:rPr>
        <w:t>Where special category data is processed, an additional lawful condition under Article 9 UK GDPR and the Data Protection Act 2018 will be identified and documented.</w:t>
      </w:r>
    </w:p>
    <w:p w14:paraId="606F5E2E" w14:textId="23FC9148" w:rsidR="00740D1B" w:rsidRPr="00B6622F" w:rsidRDefault="00740D1B" w:rsidP="009B5F09">
      <w:pPr>
        <w:jc w:val="both"/>
        <w:rPr>
          <w:rFonts w:ascii="Verdana" w:hAnsi="Verdana"/>
        </w:rPr>
      </w:pPr>
      <w:r w:rsidRPr="00B6622F">
        <w:rPr>
          <w:rFonts w:ascii="Verdana" w:hAnsi="Verdana"/>
        </w:rPr>
        <w:t>The lawful basis for each processing activity will be recorded in the Council’s Records of Processing Activities.</w:t>
      </w:r>
    </w:p>
    <w:p w14:paraId="382825C3" w14:textId="2423F6C3" w:rsidR="00157FD4" w:rsidRPr="00B6622F" w:rsidRDefault="00157FD4" w:rsidP="009B5F09">
      <w:pPr>
        <w:jc w:val="both"/>
        <w:rPr>
          <w:rFonts w:ascii="Verdana" w:hAnsi="Verdana"/>
        </w:rPr>
      </w:pPr>
      <w:r w:rsidRPr="00B6622F">
        <w:rPr>
          <w:rFonts w:ascii="Verdana" w:hAnsi="Verdana"/>
        </w:rPr>
        <w:t>Where processing is based on legitimate interests under Article 6(1)(f) UK GDPR, the Council will complete and retain a Legitimate Interests Assessment (LIA) to evidence compliance.</w:t>
      </w:r>
    </w:p>
    <w:p w14:paraId="0E5A6CAF" w14:textId="77777777" w:rsidR="00740D1B" w:rsidRPr="00B6622F" w:rsidRDefault="00740D1B" w:rsidP="009B5F09">
      <w:pPr>
        <w:jc w:val="both"/>
        <w:rPr>
          <w:rFonts w:ascii="Verdana" w:hAnsi="Verdana"/>
        </w:rPr>
      </w:pPr>
    </w:p>
    <w:p w14:paraId="2AC0068D" w14:textId="713BD202" w:rsidR="00740D1B" w:rsidRPr="00B6622F" w:rsidRDefault="00740D1B" w:rsidP="009B5F09">
      <w:pPr>
        <w:jc w:val="both"/>
        <w:rPr>
          <w:rFonts w:ascii="Verdana" w:hAnsi="Verdana"/>
          <w:b/>
          <w:bCs/>
        </w:rPr>
      </w:pPr>
      <w:r w:rsidRPr="00B6622F">
        <w:rPr>
          <w:rFonts w:ascii="Verdana" w:hAnsi="Verdana"/>
          <w:b/>
          <w:bCs/>
        </w:rPr>
        <w:t>Data Subject Rights</w:t>
      </w:r>
    </w:p>
    <w:p w14:paraId="33592877" w14:textId="77777777" w:rsidR="00740D1B" w:rsidRPr="00B6622F" w:rsidRDefault="00740D1B" w:rsidP="009B5F09">
      <w:pPr>
        <w:jc w:val="both"/>
        <w:rPr>
          <w:rFonts w:ascii="Verdana" w:hAnsi="Verdana"/>
        </w:rPr>
      </w:pPr>
      <w:r w:rsidRPr="00B6622F">
        <w:rPr>
          <w:rFonts w:ascii="Verdana" w:hAnsi="Verdana"/>
        </w:rPr>
        <w:t>Individuals whose personal data is processed by the Council have the following rights under UK GDPR:</w:t>
      </w:r>
    </w:p>
    <w:p w14:paraId="7E7237BE" w14:textId="77777777" w:rsidR="00740D1B" w:rsidRPr="00B6622F" w:rsidRDefault="00740D1B" w:rsidP="009B5F09">
      <w:pPr>
        <w:numPr>
          <w:ilvl w:val="0"/>
          <w:numId w:val="2"/>
        </w:numPr>
        <w:jc w:val="both"/>
        <w:rPr>
          <w:rFonts w:ascii="Verdana" w:hAnsi="Verdana"/>
        </w:rPr>
      </w:pPr>
      <w:r w:rsidRPr="00B6622F">
        <w:rPr>
          <w:rFonts w:ascii="Verdana" w:hAnsi="Verdana"/>
        </w:rPr>
        <w:t>The right to be informed;</w:t>
      </w:r>
    </w:p>
    <w:p w14:paraId="7ED15E0B" w14:textId="77777777" w:rsidR="00740D1B" w:rsidRPr="00B6622F" w:rsidRDefault="00740D1B" w:rsidP="009B5F09">
      <w:pPr>
        <w:numPr>
          <w:ilvl w:val="0"/>
          <w:numId w:val="2"/>
        </w:numPr>
        <w:jc w:val="both"/>
        <w:rPr>
          <w:rFonts w:ascii="Verdana" w:hAnsi="Verdana"/>
        </w:rPr>
      </w:pPr>
      <w:r w:rsidRPr="00B6622F">
        <w:rPr>
          <w:rFonts w:ascii="Verdana" w:hAnsi="Verdana"/>
        </w:rPr>
        <w:t>The right of access;</w:t>
      </w:r>
    </w:p>
    <w:p w14:paraId="4111CD19" w14:textId="77777777" w:rsidR="00740D1B" w:rsidRPr="00B6622F" w:rsidRDefault="00740D1B" w:rsidP="009B5F09">
      <w:pPr>
        <w:numPr>
          <w:ilvl w:val="0"/>
          <w:numId w:val="2"/>
        </w:numPr>
        <w:jc w:val="both"/>
        <w:rPr>
          <w:rFonts w:ascii="Verdana" w:hAnsi="Verdana"/>
        </w:rPr>
      </w:pPr>
      <w:r w:rsidRPr="00B6622F">
        <w:rPr>
          <w:rFonts w:ascii="Verdana" w:hAnsi="Verdana"/>
        </w:rPr>
        <w:t>The right to rectification;</w:t>
      </w:r>
    </w:p>
    <w:p w14:paraId="62F610B8" w14:textId="77777777" w:rsidR="00740D1B" w:rsidRPr="00B6622F" w:rsidRDefault="00740D1B" w:rsidP="009B5F09">
      <w:pPr>
        <w:numPr>
          <w:ilvl w:val="0"/>
          <w:numId w:val="2"/>
        </w:numPr>
        <w:jc w:val="both"/>
        <w:rPr>
          <w:rFonts w:ascii="Verdana" w:hAnsi="Verdana"/>
        </w:rPr>
      </w:pPr>
      <w:r w:rsidRPr="00B6622F">
        <w:rPr>
          <w:rFonts w:ascii="Verdana" w:hAnsi="Verdana"/>
        </w:rPr>
        <w:t>The right to erasure (where applicable);</w:t>
      </w:r>
    </w:p>
    <w:p w14:paraId="14EC5E7A" w14:textId="77777777" w:rsidR="00740D1B" w:rsidRPr="00B6622F" w:rsidRDefault="00740D1B" w:rsidP="009B5F09">
      <w:pPr>
        <w:numPr>
          <w:ilvl w:val="0"/>
          <w:numId w:val="2"/>
        </w:numPr>
        <w:jc w:val="both"/>
        <w:rPr>
          <w:rFonts w:ascii="Verdana" w:hAnsi="Verdana"/>
        </w:rPr>
      </w:pPr>
      <w:r w:rsidRPr="00B6622F">
        <w:rPr>
          <w:rFonts w:ascii="Verdana" w:hAnsi="Verdana"/>
        </w:rPr>
        <w:t>The right to restrict processing;</w:t>
      </w:r>
    </w:p>
    <w:p w14:paraId="4AF13CEB" w14:textId="77777777" w:rsidR="00740D1B" w:rsidRPr="00B6622F" w:rsidRDefault="00740D1B" w:rsidP="009B5F09">
      <w:pPr>
        <w:numPr>
          <w:ilvl w:val="0"/>
          <w:numId w:val="2"/>
        </w:numPr>
        <w:jc w:val="both"/>
        <w:rPr>
          <w:rFonts w:ascii="Verdana" w:hAnsi="Verdana"/>
        </w:rPr>
      </w:pPr>
      <w:r w:rsidRPr="00B6622F">
        <w:rPr>
          <w:rFonts w:ascii="Verdana" w:hAnsi="Verdana"/>
        </w:rPr>
        <w:t>The right to data portability (where applicable);</w:t>
      </w:r>
    </w:p>
    <w:p w14:paraId="23BAF1F8" w14:textId="77777777" w:rsidR="00740D1B" w:rsidRPr="00B6622F" w:rsidRDefault="00740D1B" w:rsidP="009B5F09">
      <w:pPr>
        <w:numPr>
          <w:ilvl w:val="0"/>
          <w:numId w:val="2"/>
        </w:numPr>
        <w:jc w:val="both"/>
        <w:rPr>
          <w:rFonts w:ascii="Verdana" w:hAnsi="Verdana"/>
        </w:rPr>
      </w:pPr>
      <w:r w:rsidRPr="00B6622F">
        <w:rPr>
          <w:rFonts w:ascii="Verdana" w:hAnsi="Verdana"/>
        </w:rPr>
        <w:t>The right to object;</w:t>
      </w:r>
    </w:p>
    <w:p w14:paraId="55E16E77" w14:textId="77777777" w:rsidR="00740D1B" w:rsidRPr="00B6622F" w:rsidRDefault="00740D1B" w:rsidP="009B5F09">
      <w:pPr>
        <w:numPr>
          <w:ilvl w:val="0"/>
          <w:numId w:val="2"/>
        </w:numPr>
        <w:jc w:val="both"/>
        <w:rPr>
          <w:rFonts w:ascii="Verdana" w:hAnsi="Verdana"/>
        </w:rPr>
      </w:pPr>
      <w:r w:rsidRPr="00B6622F">
        <w:rPr>
          <w:rFonts w:ascii="Verdana" w:hAnsi="Verdana"/>
        </w:rPr>
        <w:t>Rights in relation to automated decision-making and profiling.</w:t>
      </w:r>
    </w:p>
    <w:p w14:paraId="4457ADFC" w14:textId="77777777" w:rsidR="00740D1B" w:rsidRPr="00B6622F" w:rsidRDefault="00740D1B" w:rsidP="009B5F09">
      <w:pPr>
        <w:jc w:val="both"/>
        <w:rPr>
          <w:rFonts w:ascii="Verdana" w:hAnsi="Verdana"/>
        </w:rPr>
      </w:pPr>
      <w:r w:rsidRPr="00B6622F">
        <w:rPr>
          <w:rFonts w:ascii="Verdana" w:hAnsi="Verdana"/>
        </w:rPr>
        <w:lastRenderedPageBreak/>
        <w:t>Not all rights apply in every circumstance, particularly where the Council is exercising official authority or complying with a legal obligation.</w:t>
      </w:r>
    </w:p>
    <w:p w14:paraId="72BA85D1" w14:textId="77777777" w:rsidR="00740D1B" w:rsidRDefault="00740D1B" w:rsidP="009B5F09">
      <w:pPr>
        <w:jc w:val="both"/>
        <w:rPr>
          <w:rFonts w:ascii="Verdana" w:hAnsi="Verdana"/>
        </w:rPr>
      </w:pPr>
      <w:r w:rsidRPr="00B6622F">
        <w:rPr>
          <w:rFonts w:ascii="Verdana" w:hAnsi="Verdana"/>
        </w:rPr>
        <w:t>All requests relating to individual rights must be referred immediately to the Data Protection Officer (DPO).</w:t>
      </w:r>
    </w:p>
    <w:p w14:paraId="11B4E224" w14:textId="77777777" w:rsidR="00B6622F" w:rsidRPr="00B6622F" w:rsidRDefault="00B6622F" w:rsidP="009B5F09">
      <w:pPr>
        <w:jc w:val="both"/>
        <w:rPr>
          <w:rFonts w:ascii="Verdana" w:hAnsi="Verdana"/>
        </w:rPr>
      </w:pPr>
    </w:p>
    <w:p w14:paraId="24F557AB" w14:textId="5BA932DD" w:rsidR="00740D1B" w:rsidRPr="00B6622F" w:rsidRDefault="00740D1B" w:rsidP="009B5F09">
      <w:pPr>
        <w:jc w:val="both"/>
        <w:rPr>
          <w:rFonts w:ascii="Verdana" w:hAnsi="Verdana"/>
          <w:b/>
          <w:bCs/>
        </w:rPr>
      </w:pPr>
      <w:r w:rsidRPr="00B6622F">
        <w:rPr>
          <w:rFonts w:ascii="Verdana" w:hAnsi="Verdana"/>
          <w:b/>
          <w:bCs/>
        </w:rPr>
        <w:t>Subject Access Requests</w:t>
      </w:r>
    </w:p>
    <w:p w14:paraId="542022EC" w14:textId="2A0506CC" w:rsidR="00740D1B" w:rsidRPr="00B6622F" w:rsidRDefault="00740D1B" w:rsidP="009B5F09">
      <w:pPr>
        <w:jc w:val="both"/>
        <w:rPr>
          <w:rFonts w:ascii="Verdana" w:hAnsi="Verdana"/>
        </w:rPr>
      </w:pPr>
      <w:r w:rsidRPr="00B6622F">
        <w:rPr>
          <w:rFonts w:ascii="Verdana" w:hAnsi="Verdana"/>
        </w:rPr>
        <w:t>Individuals are entitled to request access to the personal data the Council holds about them.</w:t>
      </w:r>
    </w:p>
    <w:p w14:paraId="49701734" w14:textId="35694DC4" w:rsidR="00740D1B" w:rsidRPr="00B6622F" w:rsidRDefault="00740D1B" w:rsidP="009B5F09">
      <w:pPr>
        <w:jc w:val="both"/>
        <w:rPr>
          <w:rFonts w:ascii="Verdana" w:hAnsi="Verdana"/>
        </w:rPr>
      </w:pPr>
      <w:r w:rsidRPr="00B6622F">
        <w:rPr>
          <w:rFonts w:ascii="Verdana" w:hAnsi="Verdana"/>
        </w:rPr>
        <w:t>All Subject Access Requests (SARs) must be referred immediately to the DPO.</w:t>
      </w:r>
    </w:p>
    <w:p w14:paraId="12E6D2AA" w14:textId="76B86595" w:rsidR="00740D1B" w:rsidRPr="00B6622F" w:rsidRDefault="00740D1B" w:rsidP="009B5F09">
      <w:pPr>
        <w:jc w:val="both"/>
        <w:rPr>
          <w:rFonts w:ascii="Verdana" w:hAnsi="Verdana"/>
        </w:rPr>
      </w:pPr>
      <w:r w:rsidRPr="00B6622F">
        <w:rPr>
          <w:rFonts w:ascii="Verdana" w:hAnsi="Verdana"/>
        </w:rPr>
        <w:t>The Council will respond to SARs without undue delay and in any event within one month of receipt, unless a lawful extension applies.</w:t>
      </w:r>
    </w:p>
    <w:p w14:paraId="10B90C8B" w14:textId="1C669ED7" w:rsidR="00740D1B" w:rsidRPr="00B6622F" w:rsidRDefault="00740D1B" w:rsidP="009B5F09">
      <w:pPr>
        <w:jc w:val="both"/>
        <w:rPr>
          <w:rFonts w:ascii="Verdana" w:hAnsi="Verdana"/>
        </w:rPr>
      </w:pPr>
      <w:r w:rsidRPr="00B6622F">
        <w:rPr>
          <w:rFonts w:ascii="Verdana" w:hAnsi="Verdana"/>
        </w:rPr>
        <w:t>The DPO will verify the identity of the requester where necessary, assess any applicable exemptions, and ensure that the response is complete and compliant.</w:t>
      </w:r>
    </w:p>
    <w:p w14:paraId="51A36D49" w14:textId="2622D8BC" w:rsidR="00740D1B" w:rsidRPr="00B6622F" w:rsidRDefault="00740D1B" w:rsidP="009B5F09">
      <w:pPr>
        <w:jc w:val="both"/>
        <w:rPr>
          <w:rFonts w:ascii="Verdana" w:hAnsi="Verdana"/>
        </w:rPr>
      </w:pPr>
      <w:r w:rsidRPr="00B6622F">
        <w:rPr>
          <w:rFonts w:ascii="Verdana" w:hAnsi="Verdana"/>
        </w:rPr>
        <w:t>No fee will be charged unless a request is manifestly unfounded or excessive, in accordance with UK GDPR.</w:t>
      </w:r>
    </w:p>
    <w:p w14:paraId="13AD97F3" w14:textId="77777777" w:rsidR="00F14B2D" w:rsidRPr="00B6622F" w:rsidRDefault="00F14B2D" w:rsidP="009B5F09">
      <w:pPr>
        <w:jc w:val="both"/>
        <w:rPr>
          <w:rFonts w:ascii="Verdana" w:hAnsi="Verdana"/>
        </w:rPr>
      </w:pPr>
    </w:p>
    <w:p w14:paraId="05AB11DC" w14:textId="6678291B" w:rsidR="00F14B2D" w:rsidRPr="00B6622F" w:rsidRDefault="00F14B2D" w:rsidP="009B5F09">
      <w:pPr>
        <w:jc w:val="both"/>
        <w:rPr>
          <w:rFonts w:ascii="Verdana" w:hAnsi="Verdana"/>
          <w:b/>
          <w:bCs/>
        </w:rPr>
      </w:pPr>
      <w:r w:rsidRPr="00B6622F">
        <w:rPr>
          <w:rFonts w:ascii="Verdana" w:hAnsi="Verdana"/>
          <w:b/>
          <w:bCs/>
        </w:rPr>
        <w:t>Data Retention</w:t>
      </w:r>
    </w:p>
    <w:p w14:paraId="0ED8CA77" w14:textId="77777777" w:rsidR="00F14B2D" w:rsidRPr="00B6622F" w:rsidRDefault="00F14B2D" w:rsidP="009B5F09">
      <w:pPr>
        <w:jc w:val="both"/>
        <w:rPr>
          <w:rFonts w:ascii="Verdana" w:hAnsi="Verdana"/>
        </w:rPr>
      </w:pPr>
      <w:r w:rsidRPr="00B6622F">
        <w:rPr>
          <w:rFonts w:ascii="Verdana" w:hAnsi="Verdana"/>
        </w:rPr>
        <w:t>We must retain personal data for no longer than is necessary.</w:t>
      </w:r>
    </w:p>
    <w:p w14:paraId="2DDBEAC8" w14:textId="77777777" w:rsidR="00F14B2D" w:rsidRPr="00B6622F" w:rsidRDefault="00F14B2D" w:rsidP="009B5F09">
      <w:pPr>
        <w:jc w:val="both"/>
        <w:rPr>
          <w:rFonts w:ascii="Verdana" w:hAnsi="Verdana"/>
        </w:rPr>
      </w:pPr>
      <w:r w:rsidRPr="00B6622F">
        <w:rPr>
          <w:rFonts w:ascii="Verdana" w:hAnsi="Verdana"/>
        </w:rPr>
        <w:t>Retention periods will be documented, reviewed and justified in line with accountability obligations.</w:t>
      </w:r>
    </w:p>
    <w:p w14:paraId="7A928769" w14:textId="3AC8353E" w:rsidR="003039FA" w:rsidRPr="00B6622F" w:rsidRDefault="003039FA" w:rsidP="009B5F09">
      <w:pPr>
        <w:jc w:val="both"/>
        <w:rPr>
          <w:rFonts w:ascii="Verdana" w:hAnsi="Verdana"/>
        </w:rPr>
      </w:pPr>
    </w:p>
    <w:p w14:paraId="6261BD4E" w14:textId="2D3D3DB9" w:rsidR="003039FA" w:rsidRPr="00B6622F" w:rsidRDefault="003039FA" w:rsidP="009B5F09">
      <w:pPr>
        <w:jc w:val="both"/>
        <w:rPr>
          <w:rFonts w:ascii="Verdana" w:hAnsi="Verdana"/>
          <w:b/>
          <w:bCs/>
        </w:rPr>
      </w:pPr>
      <w:r w:rsidRPr="00B6622F">
        <w:rPr>
          <w:rFonts w:ascii="Verdana" w:hAnsi="Verdana"/>
          <w:b/>
          <w:bCs/>
        </w:rPr>
        <w:t xml:space="preserve">Data </w:t>
      </w:r>
      <w:r w:rsidR="00F14B2D" w:rsidRPr="00B6622F">
        <w:rPr>
          <w:rFonts w:ascii="Verdana" w:hAnsi="Verdana"/>
          <w:b/>
          <w:bCs/>
        </w:rPr>
        <w:t>S</w:t>
      </w:r>
      <w:r w:rsidRPr="00B6622F">
        <w:rPr>
          <w:rFonts w:ascii="Verdana" w:hAnsi="Verdana"/>
          <w:b/>
          <w:bCs/>
        </w:rPr>
        <w:t>ecurity</w:t>
      </w:r>
    </w:p>
    <w:p w14:paraId="5AA84468" w14:textId="77777777" w:rsidR="003039FA" w:rsidRPr="00B6622F" w:rsidRDefault="003039FA" w:rsidP="009B5F09">
      <w:pPr>
        <w:jc w:val="both"/>
        <w:rPr>
          <w:rFonts w:ascii="Verdana" w:hAnsi="Verdana"/>
        </w:rPr>
      </w:pPr>
      <w:r w:rsidRPr="00B6622F">
        <w:rPr>
          <w:rFonts w:ascii="Verdana" w:hAnsi="Verdana"/>
        </w:rPr>
        <w:t>You must keep personal data secure against loss or misuse.</w:t>
      </w:r>
    </w:p>
    <w:p w14:paraId="5483170F" w14:textId="5B3696B4" w:rsidR="003039FA" w:rsidRPr="00B6622F" w:rsidRDefault="003039FA" w:rsidP="009B5F09">
      <w:pPr>
        <w:jc w:val="both"/>
        <w:rPr>
          <w:rFonts w:ascii="Verdana" w:hAnsi="Verdana"/>
        </w:rPr>
      </w:pPr>
      <w:r w:rsidRPr="00B6622F">
        <w:rPr>
          <w:rFonts w:ascii="Verdana" w:hAnsi="Verdana"/>
        </w:rPr>
        <w:t>In accordance with Article 32 UK GDPR, the Council will implement appropriate technical and organisational measures to ensure a level of security appropriate to the risk.</w:t>
      </w:r>
    </w:p>
    <w:p w14:paraId="571429B7" w14:textId="77777777" w:rsidR="00F14B2D" w:rsidRPr="00B6622F" w:rsidRDefault="00F14B2D" w:rsidP="009B5F09">
      <w:pPr>
        <w:jc w:val="both"/>
        <w:rPr>
          <w:rFonts w:ascii="Verdana" w:hAnsi="Verdana"/>
        </w:rPr>
      </w:pPr>
    </w:p>
    <w:p w14:paraId="4418721E" w14:textId="6E8ED74A" w:rsidR="003039FA" w:rsidRPr="00B6622F" w:rsidRDefault="003039FA" w:rsidP="009B5F09">
      <w:pPr>
        <w:jc w:val="both"/>
        <w:rPr>
          <w:rFonts w:ascii="Verdana" w:hAnsi="Verdana"/>
          <w:b/>
          <w:bCs/>
        </w:rPr>
      </w:pPr>
      <w:r w:rsidRPr="00B6622F">
        <w:rPr>
          <w:rFonts w:ascii="Verdana" w:hAnsi="Verdana"/>
          <w:b/>
          <w:bCs/>
        </w:rPr>
        <w:t xml:space="preserve">Personal </w:t>
      </w:r>
      <w:r w:rsidR="00F14B2D" w:rsidRPr="00B6622F">
        <w:rPr>
          <w:rFonts w:ascii="Verdana" w:hAnsi="Verdana"/>
          <w:b/>
          <w:bCs/>
        </w:rPr>
        <w:t>D</w:t>
      </w:r>
      <w:r w:rsidRPr="00B6622F">
        <w:rPr>
          <w:rFonts w:ascii="Verdana" w:hAnsi="Verdana"/>
          <w:b/>
          <w:bCs/>
        </w:rPr>
        <w:t xml:space="preserve">ata </w:t>
      </w:r>
      <w:r w:rsidR="00F14B2D" w:rsidRPr="00B6622F">
        <w:rPr>
          <w:rFonts w:ascii="Verdana" w:hAnsi="Verdana"/>
          <w:b/>
          <w:bCs/>
        </w:rPr>
        <w:t>B</w:t>
      </w:r>
      <w:r w:rsidRPr="00B6622F">
        <w:rPr>
          <w:rFonts w:ascii="Verdana" w:hAnsi="Verdana"/>
          <w:b/>
          <w:bCs/>
        </w:rPr>
        <w:t>reaches</w:t>
      </w:r>
    </w:p>
    <w:p w14:paraId="78DEB04D" w14:textId="77777777" w:rsidR="003039FA" w:rsidRPr="00B6622F" w:rsidRDefault="003039FA" w:rsidP="009B5F09">
      <w:pPr>
        <w:jc w:val="both"/>
        <w:rPr>
          <w:rFonts w:ascii="Verdana" w:hAnsi="Verdana"/>
        </w:rPr>
      </w:pPr>
      <w:r w:rsidRPr="00B6622F">
        <w:rPr>
          <w:rFonts w:ascii="Verdana" w:hAnsi="Verdana"/>
        </w:rPr>
        <w:t>Reporting breaches</w:t>
      </w:r>
    </w:p>
    <w:p w14:paraId="121E7E26" w14:textId="42F3C18C" w:rsidR="003039FA" w:rsidRPr="00B6622F" w:rsidRDefault="003039FA" w:rsidP="009B5F09">
      <w:pPr>
        <w:jc w:val="both"/>
        <w:rPr>
          <w:rFonts w:ascii="Verdana" w:hAnsi="Verdana"/>
        </w:rPr>
      </w:pPr>
      <w:r w:rsidRPr="00B6622F">
        <w:rPr>
          <w:rFonts w:ascii="Verdana" w:hAnsi="Verdana"/>
        </w:rPr>
        <w:lastRenderedPageBreak/>
        <w:t>All actual or suspected personal data breaches must be reported immediately to the DPO.</w:t>
      </w:r>
    </w:p>
    <w:p w14:paraId="73079896" w14:textId="4CAED25B" w:rsidR="003039FA" w:rsidRDefault="003039FA" w:rsidP="009B5F09">
      <w:pPr>
        <w:jc w:val="both"/>
        <w:rPr>
          <w:rFonts w:ascii="Verdana" w:hAnsi="Verdana"/>
        </w:rPr>
      </w:pPr>
      <w:r w:rsidRPr="00B6622F">
        <w:rPr>
          <w:rFonts w:ascii="Verdana" w:hAnsi="Verdana"/>
        </w:rPr>
        <w:t>The DPO will assess risk, determine whether notification to the ICO is required within 72 hours, notify affected individuals where required, and maintain a breach register.</w:t>
      </w:r>
      <w:r w:rsidR="00556CE7" w:rsidRPr="00B6622F">
        <w:rPr>
          <w:rFonts w:ascii="Verdana" w:hAnsi="Verdana"/>
        </w:rPr>
        <w:t xml:space="preserve"> </w:t>
      </w:r>
    </w:p>
    <w:p w14:paraId="51277D5D" w14:textId="77777777" w:rsidR="00B6622F" w:rsidRPr="00B6622F" w:rsidRDefault="00B6622F" w:rsidP="009B5F09">
      <w:pPr>
        <w:jc w:val="both"/>
        <w:rPr>
          <w:rFonts w:ascii="Verdana" w:hAnsi="Verdana"/>
        </w:rPr>
      </w:pPr>
    </w:p>
    <w:p w14:paraId="0CF7B131" w14:textId="6C671F19" w:rsidR="00F14B2D" w:rsidRPr="00B6622F" w:rsidRDefault="00F14B2D" w:rsidP="009B5F09">
      <w:pPr>
        <w:jc w:val="both"/>
        <w:rPr>
          <w:rFonts w:ascii="Verdana" w:hAnsi="Verdana"/>
        </w:rPr>
      </w:pPr>
      <w:r w:rsidRPr="00B6622F">
        <w:rPr>
          <w:rFonts w:ascii="Verdana" w:hAnsi="Verdana"/>
          <w:b/>
          <w:bCs/>
        </w:rPr>
        <w:t>Record</w:t>
      </w:r>
      <w:r w:rsidR="00957CCB" w:rsidRPr="00B6622F">
        <w:rPr>
          <w:rFonts w:ascii="Verdana" w:hAnsi="Verdana"/>
          <w:b/>
          <w:bCs/>
        </w:rPr>
        <w:t>s</w:t>
      </w:r>
      <w:r w:rsidRPr="00B6622F">
        <w:rPr>
          <w:rFonts w:ascii="Verdana" w:hAnsi="Verdana"/>
          <w:b/>
          <w:bCs/>
        </w:rPr>
        <w:t xml:space="preserve"> of Processing and Data Protection Impact Assessments (DPIAs)</w:t>
      </w:r>
    </w:p>
    <w:p w14:paraId="3D353803" w14:textId="77777777" w:rsidR="00F14B2D" w:rsidRPr="00B6622F" w:rsidRDefault="00F14B2D" w:rsidP="009B5F09">
      <w:pPr>
        <w:jc w:val="both"/>
        <w:rPr>
          <w:rFonts w:ascii="Verdana" w:hAnsi="Verdana"/>
        </w:rPr>
      </w:pPr>
      <w:r w:rsidRPr="00B6622F">
        <w:rPr>
          <w:rFonts w:ascii="Verdana" w:hAnsi="Verdana"/>
        </w:rPr>
        <w:t>In accordance with Article 30 UK GDPR, the Council will maintain Records of Processing Activities (ROPA). These records will include details of:</w:t>
      </w:r>
    </w:p>
    <w:p w14:paraId="3DB29E69" w14:textId="77777777" w:rsidR="00F14B2D" w:rsidRPr="00B6622F" w:rsidRDefault="00F14B2D" w:rsidP="009B5F09">
      <w:pPr>
        <w:numPr>
          <w:ilvl w:val="0"/>
          <w:numId w:val="3"/>
        </w:numPr>
        <w:jc w:val="both"/>
        <w:rPr>
          <w:rFonts w:ascii="Verdana" w:hAnsi="Verdana"/>
        </w:rPr>
      </w:pPr>
      <w:r w:rsidRPr="00B6622F">
        <w:rPr>
          <w:rFonts w:ascii="Verdana" w:hAnsi="Verdana"/>
        </w:rPr>
        <w:t>The purposes of processing;</w:t>
      </w:r>
    </w:p>
    <w:p w14:paraId="0873FB63" w14:textId="77777777" w:rsidR="00F14B2D" w:rsidRPr="00B6622F" w:rsidRDefault="00F14B2D" w:rsidP="009B5F09">
      <w:pPr>
        <w:numPr>
          <w:ilvl w:val="0"/>
          <w:numId w:val="3"/>
        </w:numPr>
        <w:jc w:val="both"/>
        <w:rPr>
          <w:rFonts w:ascii="Verdana" w:hAnsi="Verdana"/>
        </w:rPr>
      </w:pPr>
      <w:r w:rsidRPr="00B6622F">
        <w:rPr>
          <w:rFonts w:ascii="Verdana" w:hAnsi="Verdana"/>
        </w:rPr>
        <w:t>Categories of data subjects and personal data;</w:t>
      </w:r>
    </w:p>
    <w:p w14:paraId="647FC540" w14:textId="77777777" w:rsidR="00F14B2D" w:rsidRPr="00B6622F" w:rsidRDefault="00F14B2D" w:rsidP="009B5F09">
      <w:pPr>
        <w:numPr>
          <w:ilvl w:val="0"/>
          <w:numId w:val="3"/>
        </w:numPr>
        <w:jc w:val="both"/>
        <w:rPr>
          <w:rFonts w:ascii="Verdana" w:hAnsi="Verdana"/>
        </w:rPr>
      </w:pPr>
      <w:r w:rsidRPr="00B6622F">
        <w:rPr>
          <w:rFonts w:ascii="Verdana" w:hAnsi="Verdana"/>
        </w:rPr>
        <w:t>Lawful bases relied upon;</w:t>
      </w:r>
    </w:p>
    <w:p w14:paraId="14BF229C" w14:textId="77777777" w:rsidR="00F14B2D" w:rsidRPr="00B6622F" w:rsidRDefault="00F14B2D" w:rsidP="009B5F09">
      <w:pPr>
        <w:numPr>
          <w:ilvl w:val="0"/>
          <w:numId w:val="3"/>
        </w:numPr>
        <w:jc w:val="both"/>
        <w:rPr>
          <w:rFonts w:ascii="Verdana" w:hAnsi="Verdana"/>
        </w:rPr>
      </w:pPr>
      <w:r w:rsidRPr="00B6622F">
        <w:rPr>
          <w:rFonts w:ascii="Verdana" w:hAnsi="Verdana"/>
        </w:rPr>
        <w:t>Data sharing arrangements;</w:t>
      </w:r>
    </w:p>
    <w:p w14:paraId="039F85E7" w14:textId="77777777" w:rsidR="00F14B2D" w:rsidRPr="00B6622F" w:rsidRDefault="00F14B2D" w:rsidP="009B5F09">
      <w:pPr>
        <w:numPr>
          <w:ilvl w:val="0"/>
          <w:numId w:val="3"/>
        </w:numPr>
        <w:jc w:val="both"/>
        <w:rPr>
          <w:rFonts w:ascii="Verdana" w:hAnsi="Verdana"/>
        </w:rPr>
      </w:pPr>
      <w:r w:rsidRPr="00B6622F">
        <w:rPr>
          <w:rFonts w:ascii="Verdana" w:hAnsi="Verdana"/>
        </w:rPr>
        <w:t>Retention periods;</w:t>
      </w:r>
    </w:p>
    <w:p w14:paraId="19E0B07C" w14:textId="77777777" w:rsidR="00F14B2D" w:rsidRPr="00B6622F" w:rsidRDefault="00F14B2D" w:rsidP="009B5F09">
      <w:pPr>
        <w:numPr>
          <w:ilvl w:val="0"/>
          <w:numId w:val="3"/>
        </w:numPr>
        <w:jc w:val="both"/>
        <w:rPr>
          <w:rFonts w:ascii="Verdana" w:hAnsi="Verdana"/>
        </w:rPr>
      </w:pPr>
      <w:r w:rsidRPr="00B6622F">
        <w:rPr>
          <w:rFonts w:ascii="Verdana" w:hAnsi="Verdana"/>
        </w:rPr>
        <w:t>Security measures.</w:t>
      </w:r>
    </w:p>
    <w:p w14:paraId="5BDF360C" w14:textId="77777777" w:rsidR="00F14B2D" w:rsidRPr="00B6622F" w:rsidRDefault="00F14B2D" w:rsidP="009B5F09">
      <w:pPr>
        <w:jc w:val="both"/>
        <w:rPr>
          <w:rFonts w:ascii="Verdana" w:hAnsi="Verdana"/>
        </w:rPr>
      </w:pPr>
      <w:r w:rsidRPr="00B6622F">
        <w:rPr>
          <w:rFonts w:ascii="Verdana" w:hAnsi="Verdana"/>
        </w:rPr>
        <w:t>Where a proposed processing activity is likely to result in a high risk to individuals’ rights and freedoms, a Data Protection Impact Assessment (DPIA) will be carried out prior to processing commencing.</w:t>
      </w:r>
    </w:p>
    <w:p w14:paraId="1D29629F" w14:textId="77777777" w:rsidR="00F14B2D" w:rsidRPr="00B6622F" w:rsidRDefault="00F14B2D" w:rsidP="009B5F09">
      <w:pPr>
        <w:jc w:val="both"/>
        <w:rPr>
          <w:rFonts w:ascii="Verdana" w:hAnsi="Verdana"/>
        </w:rPr>
      </w:pPr>
      <w:r w:rsidRPr="00B6622F">
        <w:rPr>
          <w:rFonts w:ascii="Verdana" w:hAnsi="Verdana"/>
        </w:rPr>
        <w:t>The DPO must be consulted on all DPIAs and any significant new data processing activity.</w:t>
      </w:r>
    </w:p>
    <w:p w14:paraId="102B09EE" w14:textId="77777777" w:rsidR="003039FA" w:rsidRPr="00B6622F" w:rsidRDefault="003039FA" w:rsidP="009B5F09">
      <w:pPr>
        <w:jc w:val="both"/>
        <w:rPr>
          <w:rFonts w:ascii="Verdana" w:hAnsi="Verdana"/>
        </w:rPr>
      </w:pPr>
    </w:p>
    <w:p w14:paraId="05759D1E" w14:textId="77777777" w:rsidR="003039FA" w:rsidRPr="00B6622F" w:rsidRDefault="003039FA" w:rsidP="009B5F09">
      <w:pPr>
        <w:jc w:val="both"/>
        <w:rPr>
          <w:rFonts w:ascii="Verdana" w:hAnsi="Verdana"/>
          <w:b/>
          <w:bCs/>
        </w:rPr>
      </w:pPr>
      <w:r w:rsidRPr="00B6622F">
        <w:rPr>
          <w:rFonts w:ascii="Verdana" w:hAnsi="Verdana"/>
          <w:b/>
          <w:bCs/>
        </w:rPr>
        <w:t>Training</w:t>
      </w:r>
    </w:p>
    <w:p w14:paraId="0C194DA9" w14:textId="77777777" w:rsidR="003039FA" w:rsidRPr="00B6622F" w:rsidRDefault="003039FA" w:rsidP="009B5F09">
      <w:pPr>
        <w:jc w:val="both"/>
        <w:rPr>
          <w:rFonts w:ascii="Verdana" w:hAnsi="Verdana"/>
        </w:rPr>
      </w:pPr>
      <w:r w:rsidRPr="00B6622F">
        <w:rPr>
          <w:rFonts w:ascii="Verdana" w:hAnsi="Verdana"/>
        </w:rPr>
        <w:t>All staff will receive training on this policy.</w:t>
      </w:r>
    </w:p>
    <w:p w14:paraId="3E36F892" w14:textId="3558677B" w:rsidR="003039FA" w:rsidRDefault="003039FA" w:rsidP="009B5F09">
      <w:pPr>
        <w:jc w:val="both"/>
        <w:rPr>
          <w:rFonts w:ascii="Verdana" w:hAnsi="Verdana"/>
        </w:rPr>
      </w:pPr>
      <w:r w:rsidRPr="00B6622F">
        <w:rPr>
          <w:rFonts w:ascii="Verdana" w:hAnsi="Verdana"/>
        </w:rPr>
        <w:t>Training completion will be recorded and retained as evidence of compliance.</w:t>
      </w:r>
    </w:p>
    <w:p w14:paraId="16FB8BE0" w14:textId="77777777" w:rsidR="00B6622F" w:rsidRPr="00B6622F" w:rsidRDefault="00B6622F" w:rsidP="009B5F09">
      <w:pPr>
        <w:jc w:val="both"/>
        <w:rPr>
          <w:rFonts w:ascii="Verdana" w:hAnsi="Verdana"/>
        </w:rPr>
      </w:pPr>
    </w:p>
    <w:p w14:paraId="5DEAD5F3" w14:textId="77777777" w:rsidR="003039FA" w:rsidRPr="00B6622F" w:rsidRDefault="003039FA" w:rsidP="009B5F09">
      <w:pPr>
        <w:jc w:val="both"/>
        <w:rPr>
          <w:rFonts w:ascii="Verdana" w:hAnsi="Verdana"/>
          <w:b/>
          <w:bCs/>
        </w:rPr>
      </w:pPr>
      <w:r w:rsidRPr="00B6622F">
        <w:rPr>
          <w:rFonts w:ascii="Verdana" w:hAnsi="Verdana"/>
          <w:b/>
          <w:bCs/>
        </w:rPr>
        <w:t>Monitoring</w:t>
      </w:r>
    </w:p>
    <w:p w14:paraId="151EAE1C" w14:textId="77777777" w:rsidR="003039FA" w:rsidRPr="00B6622F" w:rsidRDefault="003039FA" w:rsidP="009B5F09">
      <w:pPr>
        <w:jc w:val="both"/>
        <w:rPr>
          <w:rFonts w:ascii="Verdana" w:hAnsi="Verdana"/>
        </w:rPr>
      </w:pPr>
      <w:r w:rsidRPr="00B6622F">
        <w:rPr>
          <w:rFonts w:ascii="Verdana" w:hAnsi="Verdana"/>
        </w:rPr>
        <w:t>Everyone must observe this policy.</w:t>
      </w:r>
    </w:p>
    <w:p w14:paraId="550A320D" w14:textId="77777777" w:rsidR="003039FA" w:rsidRPr="00B6622F" w:rsidRDefault="003039FA" w:rsidP="009B5F09">
      <w:pPr>
        <w:jc w:val="both"/>
        <w:rPr>
          <w:rFonts w:ascii="Verdana" w:hAnsi="Verdana"/>
        </w:rPr>
      </w:pPr>
      <w:r w:rsidRPr="00B6622F">
        <w:rPr>
          <w:rFonts w:ascii="Verdana" w:hAnsi="Verdana"/>
        </w:rPr>
        <w:t>They will monitor it regularly to make sure it is being adhered to.</w:t>
      </w:r>
    </w:p>
    <w:p w14:paraId="2E774922" w14:textId="7B350414" w:rsidR="00556CE7" w:rsidRPr="00B6622F" w:rsidRDefault="00556CE7" w:rsidP="009B5F09">
      <w:pPr>
        <w:jc w:val="both"/>
        <w:rPr>
          <w:rFonts w:ascii="Verdana" w:hAnsi="Verdana"/>
        </w:rPr>
      </w:pPr>
      <w:r w:rsidRPr="00B6622F">
        <w:rPr>
          <w:rFonts w:ascii="Verdana" w:hAnsi="Verdana"/>
        </w:rPr>
        <w:lastRenderedPageBreak/>
        <w:t>The DPO will liaise with the Town Clerk on all matters and report back as required.</w:t>
      </w:r>
    </w:p>
    <w:p w14:paraId="032EFA50" w14:textId="3F03B96F" w:rsidR="003039FA" w:rsidRPr="00B6622F" w:rsidRDefault="003039FA" w:rsidP="009B5F09">
      <w:pPr>
        <w:jc w:val="both"/>
        <w:rPr>
          <w:rFonts w:ascii="Verdana" w:hAnsi="Verdana"/>
        </w:rPr>
      </w:pPr>
      <w:r w:rsidRPr="00B6622F">
        <w:rPr>
          <w:rFonts w:ascii="Verdana" w:hAnsi="Verdana"/>
        </w:rPr>
        <w:t xml:space="preserve">The DPO </w:t>
      </w:r>
      <w:r w:rsidR="00556CE7" w:rsidRPr="00B6622F">
        <w:rPr>
          <w:rFonts w:ascii="Verdana" w:hAnsi="Verdana"/>
        </w:rPr>
        <w:t xml:space="preserve">&amp; Town Clerk </w:t>
      </w:r>
      <w:r w:rsidRPr="00B6622F">
        <w:rPr>
          <w:rFonts w:ascii="Verdana" w:hAnsi="Verdana"/>
        </w:rPr>
        <w:t>will monitor compliance and report issues and improvements to the Council.</w:t>
      </w:r>
    </w:p>
    <w:p w14:paraId="7B294378" w14:textId="77777777" w:rsidR="004F6EB6" w:rsidRDefault="004F6EB6"/>
    <w:sectPr w:rsidR="004F6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733C"/>
    <w:multiLevelType w:val="multilevel"/>
    <w:tmpl w:val="27A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02DEB"/>
    <w:multiLevelType w:val="multilevel"/>
    <w:tmpl w:val="B6B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35C2C"/>
    <w:multiLevelType w:val="multilevel"/>
    <w:tmpl w:val="762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340081">
    <w:abstractNumId w:val="1"/>
  </w:num>
  <w:num w:numId="2" w16cid:durableId="743068789">
    <w:abstractNumId w:val="2"/>
  </w:num>
  <w:num w:numId="3" w16cid:durableId="135720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FA"/>
    <w:rsid w:val="0000168B"/>
    <w:rsid w:val="000D7DB0"/>
    <w:rsid w:val="00153027"/>
    <w:rsid w:val="00157FD4"/>
    <w:rsid w:val="00215187"/>
    <w:rsid w:val="00236D1B"/>
    <w:rsid w:val="003039FA"/>
    <w:rsid w:val="0032492C"/>
    <w:rsid w:val="004F6EB6"/>
    <w:rsid w:val="00524440"/>
    <w:rsid w:val="00556CE7"/>
    <w:rsid w:val="00630216"/>
    <w:rsid w:val="00740D1B"/>
    <w:rsid w:val="007E4061"/>
    <w:rsid w:val="00806F37"/>
    <w:rsid w:val="0083178B"/>
    <w:rsid w:val="00957CCB"/>
    <w:rsid w:val="009B5F09"/>
    <w:rsid w:val="00B6622F"/>
    <w:rsid w:val="00BE0AC3"/>
    <w:rsid w:val="00C066EE"/>
    <w:rsid w:val="00C60345"/>
    <w:rsid w:val="00C64C81"/>
    <w:rsid w:val="00DF7D63"/>
    <w:rsid w:val="00F14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2C04"/>
  <w15:chartTrackingRefBased/>
  <w15:docId w15:val="{82FF9693-8894-4F79-BD28-70D67B8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9FA"/>
    <w:rPr>
      <w:rFonts w:eastAsiaTheme="majorEastAsia" w:cstheme="majorBidi"/>
      <w:color w:val="272727" w:themeColor="text1" w:themeTint="D8"/>
    </w:rPr>
  </w:style>
  <w:style w:type="paragraph" w:styleId="Title">
    <w:name w:val="Title"/>
    <w:basedOn w:val="Normal"/>
    <w:next w:val="Normal"/>
    <w:link w:val="TitleChar"/>
    <w:uiPriority w:val="10"/>
    <w:qFormat/>
    <w:rsid w:val="00303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9FA"/>
    <w:pPr>
      <w:spacing w:before="160"/>
      <w:jc w:val="center"/>
    </w:pPr>
    <w:rPr>
      <w:i/>
      <w:iCs/>
      <w:color w:val="404040" w:themeColor="text1" w:themeTint="BF"/>
    </w:rPr>
  </w:style>
  <w:style w:type="character" w:customStyle="1" w:styleId="QuoteChar">
    <w:name w:val="Quote Char"/>
    <w:basedOn w:val="DefaultParagraphFont"/>
    <w:link w:val="Quote"/>
    <w:uiPriority w:val="29"/>
    <w:rsid w:val="003039FA"/>
    <w:rPr>
      <w:i/>
      <w:iCs/>
      <w:color w:val="404040" w:themeColor="text1" w:themeTint="BF"/>
    </w:rPr>
  </w:style>
  <w:style w:type="paragraph" w:styleId="ListParagraph">
    <w:name w:val="List Paragraph"/>
    <w:basedOn w:val="Normal"/>
    <w:uiPriority w:val="34"/>
    <w:qFormat/>
    <w:rsid w:val="003039FA"/>
    <w:pPr>
      <w:ind w:left="720"/>
      <w:contextualSpacing/>
    </w:pPr>
  </w:style>
  <w:style w:type="character" w:styleId="IntenseEmphasis">
    <w:name w:val="Intense Emphasis"/>
    <w:basedOn w:val="DefaultParagraphFont"/>
    <w:uiPriority w:val="21"/>
    <w:qFormat/>
    <w:rsid w:val="003039FA"/>
    <w:rPr>
      <w:i/>
      <w:iCs/>
      <w:color w:val="0F4761" w:themeColor="accent1" w:themeShade="BF"/>
    </w:rPr>
  </w:style>
  <w:style w:type="paragraph" w:styleId="IntenseQuote">
    <w:name w:val="Intense Quote"/>
    <w:basedOn w:val="Normal"/>
    <w:next w:val="Normal"/>
    <w:link w:val="IntenseQuoteChar"/>
    <w:uiPriority w:val="30"/>
    <w:qFormat/>
    <w:rsid w:val="00303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9FA"/>
    <w:rPr>
      <w:i/>
      <w:iCs/>
      <w:color w:val="0F4761" w:themeColor="accent1" w:themeShade="BF"/>
    </w:rPr>
  </w:style>
  <w:style w:type="character" w:styleId="IntenseReference">
    <w:name w:val="Intense Reference"/>
    <w:basedOn w:val="DefaultParagraphFont"/>
    <w:uiPriority w:val="32"/>
    <w:qFormat/>
    <w:rsid w:val="003039FA"/>
    <w:rPr>
      <w:b/>
      <w:bCs/>
      <w:smallCaps/>
      <w:color w:val="0F4761" w:themeColor="accent1" w:themeShade="BF"/>
      <w:spacing w:val="5"/>
    </w:rPr>
  </w:style>
  <w:style w:type="paragraph" w:styleId="Revision">
    <w:name w:val="Revision"/>
    <w:hidden/>
    <w:uiPriority w:val="99"/>
    <w:semiHidden/>
    <w:rsid w:val="00740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906</Words>
  <Characters>4970</Characters>
  <Application>Microsoft Office Word</Application>
  <DocSecurity>0</DocSecurity>
  <Lines>142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Vervecken</dc:creator>
  <cp:keywords/>
  <dc:description/>
  <cp:lastModifiedBy>Max Hirst</cp:lastModifiedBy>
  <cp:revision>12</cp:revision>
  <cp:lastPrinted>2026-02-09T15:21:00Z</cp:lastPrinted>
  <dcterms:created xsi:type="dcterms:W3CDTF">2026-02-09T15:15:00Z</dcterms:created>
  <dcterms:modified xsi:type="dcterms:W3CDTF">2026-05-13T09:35:00Z</dcterms:modified>
</cp:coreProperties>
</file>